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F5" w:rsidRDefault="000079F5">
      <w:pPr>
        <w:pStyle w:val="ConsPlusNormal"/>
        <w:jc w:val="both"/>
      </w:pPr>
    </w:p>
    <w:p w:rsidR="000079F5" w:rsidRDefault="000079F5">
      <w:pPr>
        <w:pStyle w:val="ConsPlusNormal"/>
        <w:jc w:val="center"/>
        <w:outlineLvl w:val="1"/>
      </w:pPr>
      <w:bookmarkStart w:id="0" w:name="P27"/>
      <w:bookmarkEnd w:id="0"/>
      <w:r>
        <w:t xml:space="preserve">Форма 15. Информация о предложении </w:t>
      </w:r>
      <w:r w:rsidR="00B47962">
        <w:t>АО «Теплокоммунэнерго»</w:t>
      </w:r>
    </w:p>
    <w:p w:rsidR="000079F5" w:rsidRDefault="000079F5">
      <w:pPr>
        <w:pStyle w:val="ConsPlusNormal"/>
        <w:jc w:val="center"/>
      </w:pPr>
      <w:r>
        <w:t>об установлении цен (тарифов) в сфере теплоснабжения</w:t>
      </w:r>
    </w:p>
    <w:p w:rsidR="000079F5" w:rsidRDefault="000079F5">
      <w:pPr>
        <w:pStyle w:val="ConsPlusNormal"/>
        <w:jc w:val="center"/>
      </w:pPr>
      <w:r>
        <w:t>на очередной расчетный период регулирования</w:t>
      </w:r>
      <w:r w:rsidR="008D56AE">
        <w:t xml:space="preserve"> 2019-2023</w:t>
      </w:r>
      <w:r w:rsidR="00450FD1">
        <w:t xml:space="preserve"> </w:t>
      </w:r>
      <w:r w:rsidR="008D56AE">
        <w:t>гг.</w:t>
      </w:r>
    </w:p>
    <w:p w:rsidR="00C90176" w:rsidRDefault="00C90176">
      <w:pPr>
        <w:pStyle w:val="ConsPlusNormal"/>
        <w:jc w:val="center"/>
      </w:pPr>
    </w:p>
    <w:p w:rsidR="00C90176" w:rsidRDefault="00C90176">
      <w:pPr>
        <w:pStyle w:val="ConsPlusNormal"/>
        <w:jc w:val="center"/>
      </w:pPr>
      <w:r>
        <w:t>Тариф на теплоноситель</w:t>
      </w:r>
      <w:r w:rsidR="00450FD1">
        <w:t xml:space="preserve"> на 2019-2023 гг.</w:t>
      </w:r>
      <w:bookmarkStart w:id="1" w:name="_GoBack"/>
      <w:bookmarkEnd w:id="1"/>
    </w:p>
    <w:p w:rsidR="000079F5" w:rsidRDefault="000079F5">
      <w:pPr>
        <w:pStyle w:val="ConsPlusNormal"/>
        <w:jc w:val="both"/>
      </w:pPr>
    </w:p>
    <w:tbl>
      <w:tblPr>
        <w:tblW w:w="94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30"/>
        <w:gridCol w:w="2187"/>
      </w:tblGrid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Предлагаемый метод регулирования</w:t>
            </w:r>
          </w:p>
        </w:tc>
        <w:tc>
          <w:tcPr>
            <w:tcW w:w="2187" w:type="dxa"/>
          </w:tcPr>
          <w:p w:rsidR="000079F5" w:rsidRDefault="00B47962">
            <w:pPr>
              <w:pStyle w:val="ConsPlusNormal"/>
            </w:pPr>
            <w:r>
              <w:t xml:space="preserve">Метод индексации 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Расчетная величина тарифов</w:t>
            </w:r>
            <w:r w:rsidR="00F84E1C">
              <w:t xml:space="preserve">, </w:t>
            </w:r>
            <w:r w:rsidR="00C36453" w:rsidRPr="00C36453">
              <w:t>руб./Гкал (без НДС)</w:t>
            </w:r>
            <w:r w:rsidR="00834B76">
              <w:t>:</w:t>
            </w:r>
          </w:p>
          <w:p w:rsidR="00F84E1C" w:rsidRDefault="00F84E1C">
            <w:pPr>
              <w:pStyle w:val="ConsPlusNormal"/>
            </w:pPr>
            <w:r>
              <w:t>2019г.</w:t>
            </w:r>
          </w:p>
          <w:p w:rsidR="00F84E1C" w:rsidRDefault="00F84E1C">
            <w:pPr>
              <w:pStyle w:val="ConsPlusNormal"/>
            </w:pPr>
            <w:r>
              <w:t>2020г.</w:t>
            </w:r>
          </w:p>
          <w:p w:rsidR="00F84E1C" w:rsidRDefault="00F84E1C">
            <w:pPr>
              <w:pStyle w:val="ConsPlusNormal"/>
            </w:pPr>
            <w:r>
              <w:t>2021г.</w:t>
            </w:r>
          </w:p>
          <w:p w:rsidR="00F84E1C" w:rsidRDefault="00F84E1C">
            <w:pPr>
              <w:pStyle w:val="ConsPlusNormal"/>
            </w:pPr>
            <w:r>
              <w:t>2022г.</w:t>
            </w:r>
          </w:p>
          <w:p w:rsidR="00F84E1C" w:rsidRDefault="00F84E1C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4414CB" w:rsidP="00F84E1C">
            <w:pPr>
              <w:pStyle w:val="ConsPlusNormal"/>
              <w:jc w:val="center"/>
            </w:pPr>
            <w:r>
              <w:t>82,48</w:t>
            </w:r>
          </w:p>
          <w:p w:rsidR="00F84E1C" w:rsidRDefault="004414CB" w:rsidP="00F84E1C">
            <w:pPr>
              <w:pStyle w:val="ConsPlusNormal"/>
              <w:jc w:val="center"/>
            </w:pPr>
            <w:r>
              <w:t>79,84</w:t>
            </w:r>
          </w:p>
          <w:p w:rsidR="00B47962" w:rsidRPr="00B47962" w:rsidRDefault="004414CB" w:rsidP="00F84E1C">
            <w:pPr>
              <w:pStyle w:val="ConsPlusNormal"/>
              <w:jc w:val="center"/>
            </w:pPr>
            <w:r>
              <w:t>83,04</w:t>
            </w:r>
          </w:p>
          <w:p w:rsidR="00B47962" w:rsidRPr="00B47962" w:rsidRDefault="004414CB" w:rsidP="00F84E1C">
            <w:pPr>
              <w:pStyle w:val="ConsPlusNormal"/>
              <w:jc w:val="center"/>
            </w:pPr>
            <w:r>
              <w:t>86,36</w:t>
            </w:r>
          </w:p>
          <w:p w:rsidR="000079F5" w:rsidRPr="00B47962" w:rsidRDefault="004414CB" w:rsidP="00F84E1C">
            <w:pPr>
              <w:pStyle w:val="ConsPlusNormal"/>
              <w:jc w:val="center"/>
            </w:pPr>
            <w:r>
              <w:t>89,82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Срок действия тарифов</w:t>
            </w:r>
          </w:p>
        </w:tc>
        <w:tc>
          <w:tcPr>
            <w:tcW w:w="2187" w:type="dxa"/>
          </w:tcPr>
          <w:p w:rsidR="004F0EA3" w:rsidRDefault="00B52F0D" w:rsidP="004F0EA3">
            <w:pPr>
              <w:pStyle w:val="ConsPlusNormal"/>
              <w:jc w:val="center"/>
            </w:pPr>
            <w:r>
              <w:t>с 01.01.2019</w:t>
            </w:r>
            <w:r w:rsidR="008D5096">
              <w:t xml:space="preserve"> </w:t>
            </w:r>
            <w:r w:rsidR="00F84E1C">
              <w:t>г.</w:t>
            </w:r>
          </w:p>
          <w:p w:rsidR="000079F5" w:rsidRDefault="00B52F0D" w:rsidP="004F0EA3">
            <w:pPr>
              <w:pStyle w:val="ConsPlusNormal"/>
              <w:jc w:val="center"/>
            </w:pPr>
            <w:r>
              <w:t>по 31.12.</w:t>
            </w:r>
            <w:r w:rsidR="00B47962">
              <w:t>2023</w:t>
            </w:r>
            <w:r w:rsidR="008D5096">
              <w:t xml:space="preserve"> </w:t>
            </w:r>
            <w:r w:rsidR="00B47962">
              <w:t>г.</w:t>
            </w:r>
          </w:p>
        </w:tc>
      </w:tr>
      <w:tr w:rsidR="000079F5" w:rsidTr="004F0EA3">
        <w:trPr>
          <w:trHeight w:val="453"/>
        </w:trPr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долгосрочных параметрах регулирования (в случае если их установление предусмотрено выбранным методом регулирования)</w:t>
            </w:r>
            <w:r w:rsidR="005F36FE">
              <w:t>: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F84E1C" w:rsidP="004F0EA3">
            <w:pPr>
              <w:pStyle w:val="ConsPlusNormal"/>
              <w:jc w:val="center"/>
            </w:pPr>
          </w:p>
        </w:tc>
      </w:tr>
      <w:tr w:rsidR="00206031" w:rsidTr="004F0EA3">
        <w:tc>
          <w:tcPr>
            <w:tcW w:w="7230" w:type="dxa"/>
          </w:tcPr>
          <w:p w:rsidR="00206031" w:rsidRDefault="00206031">
            <w:pPr>
              <w:pStyle w:val="ConsPlusNormal"/>
            </w:pPr>
            <w:r>
              <w:t>Базовый уровень операционных расходов, тыс. руб.</w:t>
            </w:r>
          </w:p>
        </w:tc>
        <w:tc>
          <w:tcPr>
            <w:tcW w:w="2187" w:type="dxa"/>
          </w:tcPr>
          <w:p w:rsidR="00206031" w:rsidRDefault="0004187B" w:rsidP="00F84E1C">
            <w:pPr>
              <w:pStyle w:val="ConsPlusNormal"/>
              <w:jc w:val="center"/>
            </w:pPr>
            <w:r>
              <w:t>19 075,3</w:t>
            </w:r>
          </w:p>
        </w:tc>
      </w:tr>
      <w:tr w:rsidR="00206031" w:rsidTr="004F0EA3">
        <w:tc>
          <w:tcPr>
            <w:tcW w:w="7230" w:type="dxa"/>
          </w:tcPr>
          <w:p w:rsidR="00206031" w:rsidRDefault="00206031">
            <w:pPr>
              <w:pStyle w:val="ConsPlusNormal"/>
            </w:pPr>
            <w:r>
              <w:t>Индекс эффективности операционных расходов, %</w:t>
            </w:r>
          </w:p>
          <w:p w:rsidR="00206031" w:rsidRDefault="00206031" w:rsidP="00206031">
            <w:pPr>
              <w:pStyle w:val="ConsPlusNormal"/>
            </w:pPr>
            <w:r>
              <w:t>2019г.</w:t>
            </w:r>
          </w:p>
          <w:p w:rsidR="00206031" w:rsidRDefault="00206031" w:rsidP="00206031">
            <w:pPr>
              <w:pStyle w:val="ConsPlusNormal"/>
            </w:pPr>
            <w:r>
              <w:t>2020г.</w:t>
            </w:r>
          </w:p>
          <w:p w:rsidR="00206031" w:rsidRDefault="00206031" w:rsidP="00206031">
            <w:pPr>
              <w:pStyle w:val="ConsPlusNormal"/>
            </w:pPr>
            <w:r>
              <w:t>2021г.</w:t>
            </w:r>
          </w:p>
          <w:p w:rsidR="00206031" w:rsidRDefault="00206031" w:rsidP="00206031">
            <w:pPr>
              <w:pStyle w:val="ConsPlusNormal"/>
            </w:pPr>
            <w:r>
              <w:t>2022г.</w:t>
            </w:r>
          </w:p>
          <w:p w:rsidR="00206031" w:rsidRDefault="00206031" w:rsidP="00206031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206031" w:rsidRDefault="00206031" w:rsidP="00F84E1C">
            <w:pPr>
              <w:pStyle w:val="ConsPlusNormal"/>
              <w:jc w:val="center"/>
            </w:pP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F84E1C">
            <w:pPr>
              <w:pStyle w:val="ConsPlusNormal"/>
              <w:jc w:val="center"/>
            </w:pPr>
            <w:r>
              <w:t>1,0</w:t>
            </w:r>
          </w:p>
          <w:p w:rsidR="00206031" w:rsidRDefault="00206031" w:rsidP="00206031">
            <w:pPr>
              <w:pStyle w:val="ConsPlusNormal"/>
              <w:jc w:val="center"/>
            </w:pPr>
            <w:r>
              <w:t>1,0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</w:pPr>
            <w:r>
              <w:t>Сведения о необходимой валовой выручке на соответствующий период, в том числе с разбивкой по годам</w:t>
            </w:r>
            <w:r w:rsidR="00F84E1C">
              <w:t xml:space="preserve">, </w:t>
            </w:r>
            <w:r w:rsidR="00F84E1C" w:rsidRPr="00683085">
              <w:t>тыс. руб. (без НДС)</w:t>
            </w:r>
            <w:r w:rsidR="00F84E1C">
              <w:t>:</w:t>
            </w:r>
          </w:p>
          <w:p w:rsidR="00F84E1C" w:rsidRDefault="00F84E1C" w:rsidP="00F84E1C">
            <w:pPr>
              <w:pStyle w:val="ConsPlusNormal"/>
            </w:pPr>
            <w:r>
              <w:t>2019г.</w:t>
            </w:r>
          </w:p>
          <w:p w:rsidR="00F84E1C" w:rsidRDefault="00F84E1C" w:rsidP="00F84E1C">
            <w:pPr>
              <w:pStyle w:val="ConsPlusNormal"/>
            </w:pPr>
            <w:r>
              <w:t>2020г.</w:t>
            </w:r>
          </w:p>
          <w:p w:rsidR="00F84E1C" w:rsidRDefault="00F84E1C" w:rsidP="00F84E1C">
            <w:pPr>
              <w:pStyle w:val="ConsPlusNormal"/>
            </w:pPr>
            <w:r>
              <w:t>2021г.</w:t>
            </w:r>
          </w:p>
          <w:p w:rsidR="00F84E1C" w:rsidRDefault="00F84E1C" w:rsidP="00F84E1C">
            <w:pPr>
              <w:pStyle w:val="ConsPlusNormal"/>
            </w:pPr>
            <w:r>
              <w:t>2022г.</w:t>
            </w:r>
          </w:p>
          <w:p w:rsidR="00F84E1C" w:rsidRDefault="00F84E1C" w:rsidP="00F84E1C">
            <w:pPr>
              <w:pStyle w:val="ConsPlusNormal"/>
            </w:pPr>
            <w:r>
              <w:t>2023г.</w:t>
            </w:r>
          </w:p>
        </w:tc>
        <w:tc>
          <w:tcPr>
            <w:tcW w:w="2187" w:type="dxa"/>
          </w:tcPr>
          <w:p w:rsidR="00F84E1C" w:rsidRDefault="00F84E1C" w:rsidP="00F84E1C">
            <w:pPr>
              <w:pStyle w:val="ConsPlusNormal"/>
              <w:jc w:val="center"/>
            </w:pPr>
          </w:p>
          <w:p w:rsidR="00F84E1C" w:rsidRDefault="00F84E1C" w:rsidP="00F84E1C">
            <w:pPr>
              <w:pStyle w:val="ConsPlusNormal"/>
              <w:jc w:val="center"/>
            </w:pPr>
          </w:p>
          <w:p w:rsidR="00F84E1C" w:rsidRDefault="004414CB" w:rsidP="00F84E1C">
            <w:pPr>
              <w:pStyle w:val="ConsPlusNormal"/>
              <w:jc w:val="center"/>
            </w:pPr>
            <w:r>
              <w:t>52 431,52</w:t>
            </w:r>
          </w:p>
          <w:p w:rsidR="00683085" w:rsidRDefault="004414CB" w:rsidP="00F84E1C">
            <w:pPr>
              <w:pStyle w:val="ConsPlusNormal"/>
              <w:jc w:val="center"/>
            </w:pPr>
            <w:r>
              <w:t>50 757,56</w:t>
            </w:r>
          </w:p>
          <w:p w:rsidR="00683085" w:rsidRDefault="004414CB" w:rsidP="00F84E1C">
            <w:pPr>
              <w:pStyle w:val="ConsPlusNormal"/>
              <w:jc w:val="center"/>
            </w:pPr>
            <w:r>
              <w:t>52 788,46</w:t>
            </w:r>
          </w:p>
          <w:p w:rsidR="00683085" w:rsidRDefault="004414CB" w:rsidP="00F84E1C">
            <w:pPr>
              <w:pStyle w:val="ConsPlusNormal"/>
              <w:jc w:val="center"/>
            </w:pPr>
            <w:r>
              <w:t>54 900,36</w:t>
            </w:r>
          </w:p>
          <w:p w:rsidR="00683085" w:rsidRDefault="004414CB" w:rsidP="00F84E1C">
            <w:pPr>
              <w:pStyle w:val="ConsPlusNormal"/>
              <w:jc w:val="center"/>
            </w:pPr>
            <w:r>
              <w:t>57 096,98</w:t>
            </w:r>
          </w:p>
        </w:tc>
      </w:tr>
      <w:tr w:rsidR="000079F5" w:rsidTr="004F0EA3">
        <w:tc>
          <w:tcPr>
            <w:tcW w:w="7230" w:type="dxa"/>
          </w:tcPr>
          <w:p w:rsidR="004F0EA3" w:rsidRDefault="000079F5">
            <w:pPr>
              <w:pStyle w:val="ConsPlusNormal"/>
              <w:jc w:val="both"/>
            </w:pPr>
            <w:r>
              <w:t>Годовой объем полезного отпуска тепловой энергии (теплоносителя)</w:t>
            </w:r>
            <w:r w:rsidR="00F84E1C">
              <w:t xml:space="preserve">, </w:t>
            </w:r>
          </w:p>
          <w:p w:rsidR="000079F5" w:rsidRDefault="00F84E1C">
            <w:pPr>
              <w:pStyle w:val="ConsPlusNormal"/>
              <w:jc w:val="both"/>
            </w:pPr>
            <w:r w:rsidRPr="00F84E1C">
              <w:t>тыс. Гкал</w:t>
            </w:r>
          </w:p>
        </w:tc>
        <w:tc>
          <w:tcPr>
            <w:tcW w:w="2187" w:type="dxa"/>
          </w:tcPr>
          <w:p w:rsidR="00B11CC8" w:rsidRDefault="005F36FE" w:rsidP="005F36FE">
            <w:pPr>
              <w:pStyle w:val="ConsPlusNormal"/>
            </w:pPr>
            <w:r>
              <w:t xml:space="preserve">            </w:t>
            </w:r>
          </w:p>
          <w:p w:rsidR="000079F5" w:rsidRDefault="00B11CC8" w:rsidP="005F36FE">
            <w:pPr>
              <w:pStyle w:val="ConsPlusNormal"/>
            </w:pPr>
            <w:r>
              <w:t xml:space="preserve">             </w:t>
            </w:r>
            <w:r w:rsidR="001A1383">
              <w:t>635,711</w:t>
            </w:r>
          </w:p>
        </w:tc>
      </w:tr>
      <w:tr w:rsidR="000079F5" w:rsidTr="004F0EA3">
        <w:tc>
          <w:tcPr>
            <w:tcW w:w="7230" w:type="dxa"/>
          </w:tcPr>
          <w:p w:rsidR="000079F5" w:rsidRDefault="000079F5">
            <w:pPr>
              <w:pStyle w:val="ConsPlusNormal"/>
              <w:jc w:val="both"/>
            </w:pPr>
            <w: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      </w:r>
            <w:r w:rsidR="003B74F5">
              <w:t>, тыс.</w:t>
            </w:r>
            <w:r w:rsidR="008D56AE">
              <w:t xml:space="preserve"> </w:t>
            </w:r>
            <w:r w:rsidR="003B74F5">
              <w:t>руб.</w:t>
            </w:r>
            <w:r w:rsidR="008D56AE">
              <w:t xml:space="preserve"> (без НДС)</w:t>
            </w:r>
          </w:p>
        </w:tc>
        <w:tc>
          <w:tcPr>
            <w:tcW w:w="2187" w:type="dxa"/>
          </w:tcPr>
          <w:p w:rsidR="003B74F5" w:rsidRDefault="003B74F5" w:rsidP="00F84E1C">
            <w:pPr>
              <w:pStyle w:val="ConsPlusNormal"/>
              <w:jc w:val="center"/>
            </w:pPr>
          </w:p>
          <w:p w:rsidR="003B74F5" w:rsidRDefault="003B74F5" w:rsidP="00F84E1C">
            <w:pPr>
              <w:pStyle w:val="ConsPlusNormal"/>
              <w:jc w:val="center"/>
            </w:pPr>
          </w:p>
          <w:p w:rsidR="000079F5" w:rsidRDefault="004414CB" w:rsidP="00F84E1C">
            <w:pPr>
              <w:pStyle w:val="ConsPlusNormal"/>
              <w:jc w:val="center"/>
            </w:pPr>
            <w:r>
              <w:t xml:space="preserve"> 3 626</w:t>
            </w:r>
          </w:p>
        </w:tc>
      </w:tr>
    </w:tbl>
    <w:p w:rsidR="000079F5" w:rsidRDefault="000079F5">
      <w:pPr>
        <w:pStyle w:val="ConsPlusNormal"/>
        <w:jc w:val="both"/>
      </w:pPr>
    </w:p>
    <w:p w:rsidR="001E3764" w:rsidRDefault="001E3764"/>
    <w:sectPr w:rsidR="001E3764" w:rsidSect="004F0EA3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F5"/>
    <w:rsid w:val="000079F5"/>
    <w:rsid w:val="0004187B"/>
    <w:rsid w:val="001A1383"/>
    <w:rsid w:val="001E3764"/>
    <w:rsid w:val="00206031"/>
    <w:rsid w:val="0031567C"/>
    <w:rsid w:val="003B74F5"/>
    <w:rsid w:val="004414CB"/>
    <w:rsid w:val="00450FD1"/>
    <w:rsid w:val="004F0EA3"/>
    <w:rsid w:val="005F36FE"/>
    <w:rsid w:val="00683085"/>
    <w:rsid w:val="00815F6C"/>
    <w:rsid w:val="00834B76"/>
    <w:rsid w:val="008D5096"/>
    <w:rsid w:val="008D56AE"/>
    <w:rsid w:val="00B11CC8"/>
    <w:rsid w:val="00B47962"/>
    <w:rsid w:val="00B52F0D"/>
    <w:rsid w:val="00C36453"/>
    <w:rsid w:val="00C90176"/>
    <w:rsid w:val="00F8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1DFE8-D0D8-4604-85DD-0ED4A8A2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07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07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56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5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Винаева</dc:creator>
  <cp:keywords/>
  <dc:description/>
  <cp:lastModifiedBy>Екатерина Юрьевна Барсова</cp:lastModifiedBy>
  <cp:revision>16</cp:revision>
  <cp:lastPrinted>2017-09-06T08:58:00Z</cp:lastPrinted>
  <dcterms:created xsi:type="dcterms:W3CDTF">2018-05-10T07:21:00Z</dcterms:created>
  <dcterms:modified xsi:type="dcterms:W3CDTF">2018-05-11T08:15:00Z</dcterms:modified>
</cp:coreProperties>
</file>